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2150" w:rsidRDefault="00A92150">
      <w:pPr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965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2200"/>
        <w:gridCol w:w="7457"/>
      </w:tblGrid>
      <w:tr w:rsidR="00A92150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2150" w:rsidRDefault="001358E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42950" cy="1028700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150" w:rsidRDefault="001358E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Agenda MR vergadering donderdag 9-2-2017 </w:t>
            </w:r>
          </w:p>
          <w:p w:rsidR="00A92150" w:rsidRDefault="00A9215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92150" w:rsidRDefault="001358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Aanvang: 20.00 uur</w:t>
            </w:r>
          </w:p>
          <w:p w:rsidR="00A92150" w:rsidRDefault="001358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Voorzitter: Leo</w:t>
            </w:r>
          </w:p>
          <w:p w:rsidR="00A92150" w:rsidRDefault="001358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Notulant: Eke</w:t>
            </w:r>
          </w:p>
          <w:p w:rsidR="00A92150" w:rsidRDefault="001358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Plaats: BSW</w:t>
            </w:r>
          </w:p>
          <w:p w:rsidR="00A92150" w:rsidRDefault="00A9215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92150" w:rsidRDefault="00A9215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92150"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2150" w:rsidRDefault="001358E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  <w:p w:rsidR="00A92150" w:rsidRDefault="001358E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Voorzitter</w:t>
            </w:r>
          </w:p>
        </w:tc>
        <w:tc>
          <w:tcPr>
            <w:tcW w:w="7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150" w:rsidRDefault="001358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Opening en mededelingen</w:t>
            </w:r>
          </w:p>
          <w:p w:rsidR="00A92150" w:rsidRDefault="001358EE">
            <w:pPr>
              <w:numPr>
                <w:ilvl w:val="0"/>
                <w:numId w:val="2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Post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→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nieuw kaartje met instemming en adviesrecht. Aan iedereen uitgedeeld. </w:t>
            </w:r>
          </w:p>
        </w:tc>
      </w:tr>
      <w:tr w:rsidR="00A92150"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2150" w:rsidRDefault="001358E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  <w:p w:rsidR="00A92150" w:rsidRDefault="001358E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MR</w:t>
            </w:r>
          </w:p>
        </w:tc>
        <w:tc>
          <w:tcPr>
            <w:tcW w:w="7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150" w:rsidRDefault="001358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Notulen vorige vergadering: 10-11- 2016</w:t>
            </w:r>
          </w:p>
          <w:p w:rsidR="00A92150" w:rsidRDefault="00A9215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92150" w:rsidRDefault="001358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Kunnen op de site. Marlies gaat dit doen. </w:t>
            </w:r>
          </w:p>
        </w:tc>
      </w:tr>
      <w:tr w:rsidR="00A92150">
        <w:tc>
          <w:tcPr>
            <w:tcW w:w="22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2150" w:rsidRDefault="001358E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  <w:p w:rsidR="00A92150" w:rsidRDefault="001358E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LD/Eke</w:t>
            </w:r>
          </w:p>
        </w:tc>
        <w:tc>
          <w:tcPr>
            <w:tcW w:w="7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150" w:rsidRDefault="001358E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Begroting 2017-2020</w:t>
            </w:r>
          </w:p>
          <w:p w:rsidR="00A92150" w:rsidRDefault="001358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Doel: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schoolbegroting en begroting OPOT bespreken</w:t>
            </w:r>
          </w:p>
          <w:p w:rsidR="00A92150" w:rsidRDefault="001358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Eke vanuit GMR</w:t>
            </w:r>
          </w:p>
          <w:p w:rsidR="00A92150" w:rsidRDefault="00A9215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92150" w:rsidRDefault="001358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 schoolbegroting is positief. We kunnen datgene doen wat we willen voor de leerlingen. 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anwege een technisch probleem hebben we geen inzage maar BD licht dit mondeling toe.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grote tablets blijven betaalbaar.</w:t>
            </w:r>
          </w:p>
          <w:p w:rsidR="00A92150" w:rsidRDefault="00A9215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92150">
        <w:tc>
          <w:tcPr>
            <w:tcW w:w="22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2150" w:rsidRDefault="00A9215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150" w:rsidRDefault="001358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Besluit: </w:t>
            </w:r>
          </w:p>
          <w:p w:rsidR="00A92150" w:rsidRDefault="00A9215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92150">
        <w:tc>
          <w:tcPr>
            <w:tcW w:w="22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2150" w:rsidRDefault="001358E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  <w:p w:rsidR="00A92150" w:rsidRDefault="001358E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Eke/LD</w:t>
            </w:r>
          </w:p>
        </w:tc>
        <w:tc>
          <w:tcPr>
            <w:tcW w:w="7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150" w:rsidRDefault="001358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Privacy beleid</w:t>
            </w:r>
          </w:p>
          <w:p w:rsidR="00A92150" w:rsidRDefault="001358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Doel: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Toelichting op organisatie van dit beleid en uitwerking wachtwoordgebruik op PM.</w:t>
            </w:r>
          </w:p>
          <w:p w:rsidR="00A92150" w:rsidRDefault="001358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 is een lijst gemaakt met sites en afspraken </w:t>
            </w:r>
          </w:p>
          <w:p w:rsidR="00A92150" w:rsidRDefault="00A9215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92150">
        <w:tc>
          <w:tcPr>
            <w:tcW w:w="22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2150" w:rsidRDefault="00A9215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150" w:rsidRDefault="001358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Besluit</w:t>
            </w:r>
          </w:p>
        </w:tc>
      </w:tr>
      <w:tr w:rsidR="00A92150">
        <w:tc>
          <w:tcPr>
            <w:tcW w:w="22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2150" w:rsidRDefault="001358E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</w:t>
            </w:r>
          </w:p>
          <w:p w:rsidR="00A92150" w:rsidRDefault="001358E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MR</w:t>
            </w:r>
          </w:p>
        </w:tc>
        <w:tc>
          <w:tcPr>
            <w:tcW w:w="7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150" w:rsidRDefault="001358E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Rapport</w:t>
            </w:r>
          </w:p>
          <w:p w:rsidR="00A92150" w:rsidRDefault="001358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Doel: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Vernieuwing rapport verkennen</w:t>
            </w:r>
          </w:p>
          <w:p w:rsidR="00A92150" w:rsidRDefault="001358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Ons huidige rapport past niet meer bij de ontwikkelingen die we nu doormaken. We willen per 2017-2018 een nieuw rapport. Vraag: Wat willen ouders terugzien in een rapport van hun kind?</w:t>
            </w:r>
          </w:p>
          <w:p w:rsidR="00A92150" w:rsidRDefault="00A9215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92150" w:rsidRDefault="001358EE">
            <w:pPr>
              <w:numPr>
                <w:ilvl w:val="0"/>
                <w:numId w:val="4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Wel afzetten tegen een gemiddelde zodat duidelijk is op welk niveau he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 kind functioneert.</w:t>
            </w:r>
          </w:p>
          <w:p w:rsidR="00A92150" w:rsidRDefault="001358EE">
            <w:pPr>
              <w:numPr>
                <w:ilvl w:val="0"/>
                <w:numId w:val="4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Als de meerderheid van de ouders niet voor verandering is, moeten we het dan wel willen?</w:t>
            </w:r>
          </w:p>
          <w:p w:rsidR="00A92150" w:rsidRDefault="001358EE">
            <w:pPr>
              <w:numPr>
                <w:ilvl w:val="0"/>
                <w:numId w:val="4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Wellicht als punt in ouderavond op 22 maart inbrengen. </w:t>
            </w:r>
          </w:p>
          <w:p w:rsidR="00A92150" w:rsidRDefault="00A92150">
            <w:pPr>
              <w:numPr>
                <w:ilvl w:val="0"/>
                <w:numId w:val="4"/>
              </w:numPr>
              <w:ind w:hanging="360"/>
              <w:rPr>
                <w:sz w:val="22"/>
                <w:szCs w:val="22"/>
              </w:rPr>
            </w:pPr>
          </w:p>
        </w:tc>
      </w:tr>
      <w:tr w:rsidR="00A92150">
        <w:tc>
          <w:tcPr>
            <w:tcW w:w="22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2150" w:rsidRDefault="00A9215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150" w:rsidRDefault="00A9215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92150">
        <w:tc>
          <w:tcPr>
            <w:tcW w:w="22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2150" w:rsidRDefault="001358E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</w:p>
          <w:p w:rsidR="00A92150" w:rsidRDefault="001358E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MR</w:t>
            </w:r>
          </w:p>
        </w:tc>
        <w:tc>
          <w:tcPr>
            <w:tcW w:w="7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150" w:rsidRDefault="001358E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Profilering Prinses Margrietschool</w:t>
            </w:r>
          </w:p>
          <w:p w:rsidR="00A92150" w:rsidRDefault="001358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Doel: </w:t>
            </w:r>
          </w:p>
          <w:p w:rsidR="00A92150" w:rsidRDefault="001358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Week Openbaar Onderwijs 20 maart  </w:t>
            </w:r>
          </w:p>
          <w:p w:rsidR="00A92150" w:rsidRDefault="001358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HVO geen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kijkles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maar in gesprek met docent tijdens koffieronde</w:t>
            </w:r>
          </w:p>
          <w:p w:rsidR="00A92150" w:rsidRDefault="001358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 22-3 Next Level dag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groepsdoorbrekend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werken, ouders welkom</w:t>
            </w:r>
          </w:p>
          <w:p w:rsidR="00A92150" w:rsidRDefault="001358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Next levelmagazine komt in die week uit. </w:t>
            </w:r>
          </w:p>
          <w:p w:rsidR="00A92150" w:rsidRDefault="001358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- Ouderavond 22-3. Avond per school.  A.d.h.v. cirkel vertellen over hoe en wat</w:t>
            </w:r>
          </w:p>
          <w:p w:rsidR="00A92150" w:rsidRDefault="001358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→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eeuwse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vaardigheden benadrukken! Wat houdt dit in en wat is het belang ervan. </w:t>
            </w:r>
          </w:p>
          <w:p w:rsidR="00A92150" w:rsidRDefault="00A9215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92150" w:rsidRDefault="001358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Communicatieplan PM en OPOT toelichten</w:t>
            </w:r>
          </w:p>
          <w:p w:rsidR="00A92150" w:rsidRDefault="001358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 Schoolgids wordt een soort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wikipedia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op de site waarin je via zoektermen bij het juiste onderwerp komt.</w:t>
            </w:r>
          </w:p>
          <w:p w:rsidR="00A92150" w:rsidRDefault="001358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-Next levelmagazine komt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uit. </w:t>
            </w:r>
          </w:p>
          <w:p w:rsidR="00A92150" w:rsidRDefault="001358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nieuw format nieuwsbrief</w:t>
            </w:r>
          </w:p>
        </w:tc>
      </w:tr>
      <w:tr w:rsidR="00A92150">
        <w:tc>
          <w:tcPr>
            <w:tcW w:w="22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2150" w:rsidRDefault="00A9215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150" w:rsidRDefault="001358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Besluit:</w:t>
            </w:r>
          </w:p>
        </w:tc>
      </w:tr>
      <w:tr w:rsidR="00A92150">
        <w:tc>
          <w:tcPr>
            <w:tcW w:w="22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2150" w:rsidRDefault="001358E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</w:t>
            </w:r>
          </w:p>
          <w:p w:rsidR="00A92150" w:rsidRDefault="001358E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GMR</w:t>
            </w:r>
          </w:p>
        </w:tc>
        <w:tc>
          <w:tcPr>
            <w:tcW w:w="7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150" w:rsidRDefault="001358E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Nieuws uit de GMR </w:t>
            </w:r>
          </w:p>
          <w:p w:rsidR="00A92150" w:rsidRDefault="001358EE">
            <w:pPr>
              <w:numPr>
                <w:ilvl w:val="0"/>
                <w:numId w:val="3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Wethouder de Jong is vanwege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good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governance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bij de vergadering geweest. Hierbij is gesproken over de toekomstvisie van de gemeente etc. </w:t>
            </w:r>
          </w:p>
          <w:p w:rsidR="00A92150" w:rsidRDefault="001358EE">
            <w:pPr>
              <w:numPr>
                <w:ilvl w:val="0"/>
                <w:numId w:val="3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A92150">
        <w:trPr>
          <w:trHeight w:val="340"/>
        </w:trPr>
        <w:tc>
          <w:tcPr>
            <w:tcW w:w="22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2150" w:rsidRDefault="00A9215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150" w:rsidRDefault="001358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Besluit:</w:t>
            </w:r>
          </w:p>
        </w:tc>
      </w:tr>
      <w:tr w:rsidR="00A92150">
        <w:tc>
          <w:tcPr>
            <w:tcW w:w="22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2150" w:rsidRDefault="001358E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</w:t>
            </w:r>
          </w:p>
          <w:p w:rsidR="00A92150" w:rsidRDefault="001358E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MR</w:t>
            </w:r>
          </w:p>
        </w:tc>
        <w:tc>
          <w:tcPr>
            <w:tcW w:w="7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150" w:rsidRDefault="001358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Rondvraag</w:t>
            </w:r>
          </w:p>
        </w:tc>
      </w:tr>
      <w:tr w:rsidR="00A92150">
        <w:tc>
          <w:tcPr>
            <w:tcW w:w="22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2150" w:rsidRDefault="00A9215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150" w:rsidRDefault="001358EE">
            <w:pPr>
              <w:numPr>
                <w:ilvl w:val="0"/>
                <w:numId w:val="3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Is er al iets te zeggen over de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ouderenquete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? Nog weinig respons, wordt een herinneringsmail gestuurd. </w:t>
            </w:r>
          </w:p>
          <w:p w:rsidR="00A92150" w:rsidRDefault="001358EE">
            <w:pPr>
              <w:numPr>
                <w:ilvl w:val="0"/>
                <w:numId w:val="1"/>
              </w:numPr>
              <w:ind w:hanging="360"/>
              <w:rPr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sz w:val="22"/>
                <w:szCs w:val="22"/>
              </w:rPr>
              <w:t xml:space="preserve">Volgende vergadering: 9 mei 2017 </w:t>
            </w:r>
          </w:p>
        </w:tc>
      </w:tr>
      <w:tr w:rsidR="00A92150">
        <w:tc>
          <w:tcPr>
            <w:tcW w:w="2200" w:type="dxa"/>
            <w:tcBorders>
              <w:left w:val="single" w:sz="4" w:space="0" w:color="000000"/>
            </w:tcBorders>
            <w:shd w:val="clear" w:color="auto" w:fill="FFFFFF"/>
          </w:tcPr>
          <w:p w:rsidR="00A92150" w:rsidRDefault="00A9215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150" w:rsidRDefault="00A9215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92150"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2150" w:rsidRDefault="00A9215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150" w:rsidRDefault="001358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Punten volgende vergadering</w:t>
            </w:r>
          </w:p>
          <w:p w:rsidR="00A92150" w:rsidRDefault="001358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uitslag ouderenquête januari 2017</w:t>
            </w:r>
          </w:p>
          <w:p w:rsidR="00A92150" w:rsidRDefault="001358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</w:tr>
    </w:tbl>
    <w:p w:rsidR="00A92150" w:rsidRDefault="00A92150">
      <w:pPr>
        <w:rPr>
          <w:rFonts w:ascii="Calibri" w:eastAsia="Calibri" w:hAnsi="Calibri" w:cs="Calibri"/>
          <w:sz w:val="22"/>
          <w:szCs w:val="22"/>
        </w:rPr>
      </w:pPr>
    </w:p>
    <w:p w:rsidR="00A92150" w:rsidRDefault="00A92150">
      <w:pPr>
        <w:rPr>
          <w:rFonts w:ascii="Calibri" w:eastAsia="Calibri" w:hAnsi="Calibri" w:cs="Calibri"/>
          <w:sz w:val="22"/>
          <w:szCs w:val="22"/>
        </w:rPr>
      </w:pPr>
    </w:p>
    <w:sectPr w:rsidR="00A92150">
      <w:pgSz w:w="11906" w:h="16838"/>
      <w:pgMar w:top="1134" w:right="1134" w:bottom="1134" w:left="1134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37ED6"/>
    <w:multiLevelType w:val="multilevel"/>
    <w:tmpl w:val="3CA621A0"/>
    <w:lvl w:ilvl="0">
      <w:start w:val="8"/>
      <w:numFmt w:val="bullet"/>
      <w:lvlText w:val="■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363D6DED"/>
    <w:multiLevelType w:val="multilevel"/>
    <w:tmpl w:val="FC8071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</w:abstractNum>
  <w:abstractNum w:abstractNumId="2" w15:restartNumberingAfterBreak="0">
    <w:nsid w:val="59333C6A"/>
    <w:multiLevelType w:val="multilevel"/>
    <w:tmpl w:val="D17AD5A6"/>
    <w:lvl w:ilvl="0">
      <w:start w:val="8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7CB153D4"/>
    <w:multiLevelType w:val="multilevel"/>
    <w:tmpl w:val="4504296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50"/>
    <w:rsid w:val="001358EE"/>
    <w:rsid w:val="00A9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134AE-3A75-46AE-AB2A-58E1C8C2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Loes Dijk</dc:creator>
  <cp:lastModifiedBy>Loes Dijk</cp:lastModifiedBy>
  <cp:revision>2</cp:revision>
  <dcterms:created xsi:type="dcterms:W3CDTF">2017-04-11T07:18:00Z</dcterms:created>
  <dcterms:modified xsi:type="dcterms:W3CDTF">2017-04-11T07:18:00Z</dcterms:modified>
</cp:coreProperties>
</file>